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1229" w:rsidRDefault="00EA1429">
      <w:bookmarkStart w:id="0" w:name="_GoBack"/>
      <w:bookmarkEnd w:id="0"/>
      <w:r>
        <w:br/>
      </w:r>
      <w:r>
        <w:br/>
      </w:r>
      <w:r w:rsidR="00890404">
        <w:t xml:space="preserve">February </w:t>
      </w:r>
      <w:r w:rsidR="001C437F">
        <w:t>9</w:t>
      </w:r>
      <w:r w:rsidR="00890404">
        <w:t>, 2018</w:t>
      </w:r>
    </w:p>
    <w:p w:rsidR="00973A97" w:rsidRDefault="00973A97"/>
    <w:p w:rsidR="00973A97" w:rsidRDefault="00890404">
      <w:r>
        <w:t>The Honorable Peter Roskam</w:t>
      </w:r>
      <w:r>
        <w:tab/>
      </w:r>
      <w:r>
        <w:tab/>
      </w:r>
      <w:r w:rsidR="001C437F">
        <w:tab/>
      </w:r>
      <w:r>
        <w:t>The Honorable Sander Levin</w:t>
      </w:r>
    </w:p>
    <w:p w:rsidR="00890404" w:rsidRDefault="00890404">
      <w:r>
        <w:t>Chairman</w:t>
      </w:r>
      <w:r>
        <w:tab/>
      </w:r>
      <w:r>
        <w:tab/>
      </w:r>
      <w:r>
        <w:tab/>
      </w:r>
      <w:r>
        <w:tab/>
      </w:r>
      <w:r w:rsidR="001C437F">
        <w:tab/>
      </w:r>
      <w:r>
        <w:t>Ranking Member</w:t>
      </w:r>
    </w:p>
    <w:p w:rsidR="001E26C9" w:rsidRDefault="00890404">
      <w:r>
        <w:t>Committee on Ways and Means</w:t>
      </w:r>
    </w:p>
    <w:p w:rsidR="00890404" w:rsidRDefault="00890404">
      <w:r>
        <w:t>Subcommittee on Health</w:t>
      </w:r>
    </w:p>
    <w:p w:rsidR="00890404" w:rsidRDefault="001E26C9">
      <w:r>
        <w:t>1104 Longworth House Office Building</w:t>
      </w:r>
    </w:p>
    <w:p w:rsidR="001E26C9" w:rsidRDefault="001E26C9">
      <w:r>
        <w:t>Washington, DC 20515</w:t>
      </w:r>
    </w:p>
    <w:p w:rsidR="00021229" w:rsidRDefault="00021229"/>
    <w:p w:rsidR="004840DC" w:rsidRPr="004840DC" w:rsidRDefault="00973A97" w:rsidP="004840DC">
      <w:pPr>
        <w:pStyle w:val="Heading3"/>
        <w:shd w:val="clear" w:color="auto" w:fill="FFFFFF"/>
        <w:spacing w:before="0" w:beforeAutospacing="0" w:after="300" w:afterAutospacing="0"/>
        <w:rPr>
          <w:rFonts w:asciiTheme="minorHAnsi" w:hAnsiTheme="minorHAnsi" w:cs="Arial"/>
          <w:color w:val="292E35"/>
          <w:sz w:val="24"/>
          <w:szCs w:val="24"/>
        </w:rPr>
      </w:pPr>
      <w:r w:rsidRPr="004840DC">
        <w:rPr>
          <w:rFonts w:asciiTheme="minorHAnsi" w:hAnsiTheme="minorHAnsi"/>
          <w:sz w:val="24"/>
          <w:szCs w:val="24"/>
        </w:rPr>
        <w:t xml:space="preserve">Re: </w:t>
      </w:r>
      <w:r w:rsidR="004840DC" w:rsidRPr="004840DC">
        <w:rPr>
          <w:rFonts w:asciiTheme="minorHAnsi" w:hAnsiTheme="minorHAnsi"/>
          <w:sz w:val="24"/>
          <w:szCs w:val="24"/>
        </w:rPr>
        <w:t xml:space="preserve">Subcommittee on Health </w:t>
      </w:r>
      <w:r w:rsidR="004840DC" w:rsidRPr="004840DC">
        <w:rPr>
          <w:rFonts w:asciiTheme="minorHAnsi" w:hAnsiTheme="minorHAnsi" w:cs="Arial"/>
          <w:color w:val="292E35"/>
          <w:sz w:val="24"/>
          <w:szCs w:val="24"/>
        </w:rPr>
        <w:t>Hearing on the Opioid Crisis: Removing Barriers to Prevent and Treat Opioid Abuse and Dependence in Medicare</w:t>
      </w:r>
      <w:r w:rsidR="00814249">
        <w:rPr>
          <w:rFonts w:asciiTheme="minorHAnsi" w:hAnsiTheme="minorHAnsi" w:cs="Arial"/>
          <w:color w:val="292E35"/>
          <w:sz w:val="24"/>
          <w:szCs w:val="24"/>
        </w:rPr>
        <w:t>; February 6, 2018</w:t>
      </w:r>
    </w:p>
    <w:p w:rsidR="00021229" w:rsidRPr="00F03AC4" w:rsidRDefault="00973A97">
      <w:r w:rsidRPr="00F03AC4">
        <w:t xml:space="preserve">Dear </w:t>
      </w:r>
      <w:r w:rsidR="00EC7FBA" w:rsidRPr="00F03AC4">
        <w:t>Chairman Roskam and Ranking Member Levin</w:t>
      </w:r>
      <w:r w:rsidRPr="00F03AC4">
        <w:t>:</w:t>
      </w:r>
    </w:p>
    <w:p w:rsidR="00973A97" w:rsidRPr="00F03AC4" w:rsidRDefault="00973A97"/>
    <w:p w:rsidR="00973A97" w:rsidRPr="00F03AC4" w:rsidRDefault="00973A97" w:rsidP="00973A97">
      <w:r w:rsidRPr="00F03AC4">
        <w:t xml:space="preserve">The American Chiropractic Association (ACA) appreciates the opportunity to </w:t>
      </w:r>
      <w:r w:rsidR="00040BCA" w:rsidRPr="00F03AC4">
        <w:t xml:space="preserve">submit </w:t>
      </w:r>
      <w:r w:rsidRPr="00F03AC4">
        <w:t>comment</w:t>
      </w:r>
      <w:r w:rsidR="00040BCA" w:rsidRPr="00F03AC4">
        <w:t xml:space="preserve">s for the record </w:t>
      </w:r>
      <w:r w:rsidRPr="00F03AC4">
        <w:t xml:space="preserve">on the </w:t>
      </w:r>
      <w:r w:rsidR="00814249" w:rsidRPr="00F03AC4">
        <w:t xml:space="preserve">subcommittee’s </w:t>
      </w:r>
      <w:r w:rsidR="00040BCA" w:rsidRPr="00F03AC4">
        <w:rPr>
          <w:rFonts w:cs="Arial"/>
        </w:rPr>
        <w:t xml:space="preserve">February 6, 2018 </w:t>
      </w:r>
      <w:r w:rsidR="00814249" w:rsidRPr="00F03AC4">
        <w:t xml:space="preserve">hearing </w:t>
      </w:r>
      <w:r w:rsidR="008E5FF6" w:rsidRPr="00F03AC4">
        <w:t>titled, The</w:t>
      </w:r>
      <w:r w:rsidR="005A15B4" w:rsidRPr="00F03AC4">
        <w:rPr>
          <w:rFonts w:cs="Arial"/>
        </w:rPr>
        <w:t xml:space="preserve"> Opioid Crisis: Removing Barriers to Prevent and Treat Opioid Abuse and Dependence in Medicare</w:t>
      </w:r>
      <w:r w:rsidR="008E5FF6" w:rsidRPr="00F03AC4">
        <w:rPr>
          <w:rFonts w:cs="Arial"/>
        </w:rPr>
        <w:t xml:space="preserve">. </w:t>
      </w:r>
      <w:r w:rsidRPr="00F03AC4">
        <w:t>ACA, the largest organization in the United States representing doctors of chiropractic</w:t>
      </w:r>
      <w:r w:rsidR="00E563DC" w:rsidRPr="00F03AC4">
        <w:t xml:space="preserve"> (DCs)</w:t>
      </w:r>
      <w:r w:rsidRPr="00F03AC4">
        <w:t xml:space="preserve">, is leading the chiropractic profession in the most constructive and far-reaching ways – by working hand in hand with other health care professionals, by supporting meaningful research, and by using that research to inform chiropractic practice. ACA members pledge to adhere to the highest standards of ethics and patient care, contributing to the health and well-being of the estimated 35 million individuals across the country who seek chiropractic care each year. </w:t>
      </w:r>
    </w:p>
    <w:p w:rsidR="00973A97" w:rsidRPr="00F03AC4" w:rsidRDefault="00973A97" w:rsidP="00973A97"/>
    <w:p w:rsidR="00973A97" w:rsidRPr="00F03AC4" w:rsidRDefault="00973A97" w:rsidP="00973A97">
      <w:r w:rsidRPr="00F03AC4">
        <w:t xml:space="preserve">We are encouraged by the </w:t>
      </w:r>
      <w:r w:rsidR="008E5FF6" w:rsidRPr="00F03AC4">
        <w:t xml:space="preserve">subcommittee’s interest in </w:t>
      </w:r>
      <w:r w:rsidR="00867C0E" w:rsidRPr="00F03AC4">
        <w:t>finding alternatives to opioids.  We at</w:t>
      </w:r>
      <w:r w:rsidR="002970E5" w:rsidRPr="00F03AC4">
        <w:t xml:space="preserve"> </w:t>
      </w:r>
      <w:r w:rsidR="00867C0E" w:rsidRPr="00F03AC4">
        <w:t xml:space="preserve">ACA contend that </w:t>
      </w:r>
      <w:proofErr w:type="gramStart"/>
      <w:r w:rsidRPr="00F03AC4">
        <w:t>a number of</w:t>
      </w:r>
      <w:proofErr w:type="gramEnd"/>
      <w:r w:rsidRPr="00F03AC4">
        <w:t xml:space="preserve"> nonpharmacological interventions can provide beneficial effect on pain and/or function in patients with chronic low back pain, chronic neck pain, osteoarthritis, fibromyalgia, and chronic tension headaches. The</w:t>
      </w:r>
      <w:r w:rsidR="004B7E4F" w:rsidRPr="00F03AC4">
        <w:t>se</w:t>
      </w:r>
      <w:r w:rsidRPr="00F03AC4">
        <w:t xml:space="preserve"> conditions constitute the majority of chronic pain diagnoses in the United States</w:t>
      </w:r>
      <w:r w:rsidR="004B7E4F" w:rsidRPr="00F03AC4">
        <w:t xml:space="preserve"> and are </w:t>
      </w:r>
      <w:r w:rsidR="00BF16AA" w:rsidRPr="00F03AC4">
        <w:t xml:space="preserve">especially </w:t>
      </w:r>
      <w:r w:rsidR="004B7E4F" w:rsidRPr="00F03AC4">
        <w:t>apparent in our senior population</w:t>
      </w:r>
      <w:r w:rsidRPr="00F03AC4">
        <w:t xml:space="preserve">. </w:t>
      </w:r>
      <w:r w:rsidR="008A1B15" w:rsidRPr="00F03AC4">
        <w:t>T</w:t>
      </w:r>
      <w:r w:rsidRPr="00F03AC4">
        <w:t>he evidence is especially supportive for those with moderate or severe intensity of pain that has persisted for greater than one year.</w:t>
      </w:r>
    </w:p>
    <w:p w:rsidR="00973A97" w:rsidRPr="00F03AC4" w:rsidRDefault="00973A97" w:rsidP="00973A97"/>
    <w:p w:rsidR="00973A97" w:rsidRPr="00F03AC4" w:rsidRDefault="00973A97" w:rsidP="00973A97">
      <w:pPr>
        <w:rPr>
          <w:rFonts w:cstheme="minorHAnsi"/>
        </w:rPr>
      </w:pPr>
      <w:r w:rsidRPr="00F03AC4">
        <w:t xml:space="preserve">We would like to recommend consideration of the </w:t>
      </w:r>
      <w:r w:rsidR="00AA3B2A" w:rsidRPr="00F03AC4">
        <w:t xml:space="preserve">following </w:t>
      </w:r>
      <w:r w:rsidR="005A5C84">
        <w:t xml:space="preserve">research </w:t>
      </w:r>
      <w:r w:rsidR="00AA3B2A" w:rsidRPr="00F03AC4">
        <w:t>in the subcommittee’s</w:t>
      </w:r>
      <w:r w:rsidR="002970E5" w:rsidRPr="00F03AC4">
        <w:t xml:space="preserve"> pursuit </w:t>
      </w:r>
      <w:r w:rsidR="00815EF3" w:rsidRPr="00F03AC4">
        <w:t>of alternatives to opioids</w:t>
      </w:r>
      <w:r w:rsidRPr="00F03AC4">
        <w:rPr>
          <w:rFonts w:cstheme="minorHAnsi"/>
        </w:rPr>
        <w:t>:</w:t>
      </w:r>
    </w:p>
    <w:p w:rsidR="00973A97" w:rsidRPr="00F03AC4" w:rsidRDefault="00973A97" w:rsidP="00973A97">
      <w:pPr>
        <w:rPr>
          <w:rFonts w:cstheme="minorHAnsi"/>
        </w:rPr>
      </w:pPr>
    </w:p>
    <w:p w:rsidR="00973A97" w:rsidRPr="00F03AC4" w:rsidRDefault="00973A97" w:rsidP="00973A97">
      <w:pPr>
        <w:rPr>
          <w:rFonts w:cstheme="minorHAnsi"/>
          <w:b/>
        </w:rPr>
      </w:pPr>
      <w:r w:rsidRPr="00F03AC4">
        <w:rPr>
          <w:rFonts w:cstheme="minorHAnsi"/>
          <w:b/>
        </w:rPr>
        <w:t>Chronic Low Back Pain</w:t>
      </w:r>
    </w:p>
    <w:p w:rsidR="00973A97" w:rsidRPr="00F03AC4" w:rsidRDefault="00973A97" w:rsidP="00973A97">
      <w:pPr>
        <w:rPr>
          <w:rFonts w:cstheme="minorHAnsi"/>
        </w:rPr>
      </w:pPr>
      <w:r w:rsidRPr="00F03AC4">
        <w:rPr>
          <w:rFonts w:cstheme="minorHAnsi"/>
        </w:rPr>
        <w:t xml:space="preserve">Goertz CM, Long CR, Vining R, Pohlman KA, Kane B, </w:t>
      </w:r>
      <w:proofErr w:type="spellStart"/>
      <w:r w:rsidRPr="00F03AC4">
        <w:rPr>
          <w:rFonts w:cstheme="minorHAnsi"/>
        </w:rPr>
        <w:t>Corber</w:t>
      </w:r>
      <w:proofErr w:type="spellEnd"/>
      <w:r w:rsidRPr="00F03AC4">
        <w:rPr>
          <w:rFonts w:cstheme="minorHAnsi"/>
        </w:rPr>
        <w:t xml:space="preserve"> L, Walter J, Coulter I</w:t>
      </w:r>
      <w:r w:rsidRPr="00D34D31">
        <w:rPr>
          <w:rFonts w:cstheme="minorHAnsi"/>
          <w:color w:val="333333"/>
        </w:rPr>
        <w:t>. </w:t>
      </w:r>
      <w:hyperlink r:id="rId10" w:tooltip="Assessment of Chiropractic Treatment for Active Duty, U.S. Military&#10;Personnel with Low Back Pain: a study protocol for a comparative effectiveness&#10;clinical trial with adaptive allocation (ACT 1)." w:history="1">
        <w:r w:rsidR="005B35C5">
          <w:rPr>
            <w:rStyle w:val="Hyperlink"/>
            <w:rFonts w:cstheme="minorHAnsi"/>
            <w:color w:val="704A91"/>
          </w:rPr>
          <w:t>Assessment of chiropractic treatment for active duty, U.S. military personnel with low back p</w:t>
        </w:r>
        <w:r w:rsidRPr="00D34D31">
          <w:rPr>
            <w:rStyle w:val="Hyperlink"/>
            <w:rFonts w:cstheme="minorHAnsi"/>
            <w:color w:val="704A91"/>
          </w:rPr>
          <w:t xml:space="preserve">ain: a study </w:t>
        </w:r>
        <w:r w:rsidRPr="00D34D31">
          <w:rPr>
            <w:rStyle w:val="Hyperlink"/>
            <w:rFonts w:cstheme="minorHAnsi"/>
            <w:color w:val="704A91"/>
          </w:rPr>
          <w:lastRenderedPageBreak/>
          <w:t>protocol for a comparative effectiveness clinical trial with adaptive allocation (ACT 1).</w:t>
        </w:r>
      </w:hyperlink>
      <w:r w:rsidRPr="00D34D31">
        <w:rPr>
          <w:rFonts w:cstheme="minorHAnsi"/>
          <w:color w:val="333333"/>
        </w:rPr>
        <w:t> Trials 2016;17:70.</w:t>
      </w:r>
      <w:r>
        <w:rPr>
          <w:rFonts w:cstheme="minorHAnsi"/>
          <w:color w:val="333333"/>
        </w:rPr>
        <w:t xml:space="preserve"> </w:t>
      </w:r>
      <w:proofErr w:type="spellStart"/>
      <w:r w:rsidRPr="003C6FBD">
        <w:rPr>
          <w:rFonts w:cstheme="minorHAnsi"/>
          <w:color w:val="333333"/>
        </w:rPr>
        <w:t>doi</w:t>
      </w:r>
      <w:proofErr w:type="spellEnd"/>
      <w:r w:rsidRPr="003C6FBD">
        <w:rPr>
          <w:rFonts w:cstheme="minorHAnsi"/>
          <w:color w:val="333333"/>
        </w:rPr>
        <w:t>: 10.1186/s13063-016-1193-8</w:t>
      </w:r>
      <w:r>
        <w:rPr>
          <w:rFonts w:cstheme="minorHAnsi"/>
          <w:color w:val="333333"/>
        </w:rPr>
        <w:t>.</w:t>
      </w:r>
      <w:r w:rsidR="005B5A2B">
        <w:rPr>
          <w:rFonts w:cstheme="minorHAnsi"/>
        </w:rPr>
        <w:t xml:space="preserve"> </w:t>
      </w:r>
      <w:r w:rsidR="005B35C5" w:rsidRPr="00F03AC4">
        <w:rPr>
          <w:rFonts w:cstheme="minorHAnsi"/>
        </w:rPr>
        <w:t>This trial</w:t>
      </w:r>
      <w:r w:rsidRPr="00F03AC4">
        <w:rPr>
          <w:rFonts w:cstheme="minorHAnsi"/>
        </w:rPr>
        <w:t xml:space="preserve"> evaluated the effects of the addition of chiropractic care to usual medical care on </w:t>
      </w:r>
      <w:r w:rsidR="004D5C54" w:rsidRPr="00F03AC4">
        <w:rPr>
          <w:rFonts w:cstheme="minorHAnsi"/>
        </w:rPr>
        <w:t>lower back pain (</w:t>
      </w:r>
      <w:r w:rsidRPr="00F03AC4">
        <w:rPr>
          <w:rFonts w:cstheme="minorHAnsi"/>
        </w:rPr>
        <w:t>LBP</w:t>
      </w:r>
      <w:r w:rsidR="004D5C54" w:rsidRPr="00F03AC4">
        <w:rPr>
          <w:rFonts w:cstheme="minorHAnsi"/>
        </w:rPr>
        <w:t>)</w:t>
      </w:r>
      <w:r w:rsidRPr="00F03AC4">
        <w:rPr>
          <w:rFonts w:cstheme="minorHAnsi"/>
        </w:rPr>
        <w:t xml:space="preserve"> pain and disability. A pilot study compared chiropractic care plus standard medical care with standard medical care alone for active duty military personnel with acute LBP. Improvements in pain and disability were significantly greater in the chiropractic care group. This comparative effectiveness study evaluated whether these prior findings can be reproduced in a large</w:t>
      </w:r>
      <w:r w:rsidR="005B35C5" w:rsidRPr="00F03AC4">
        <w:rPr>
          <w:rFonts w:cstheme="minorHAnsi"/>
        </w:rPr>
        <w:t>r sample, across multiple sites</w:t>
      </w:r>
      <w:r w:rsidRPr="00F03AC4">
        <w:rPr>
          <w:rFonts w:cstheme="minorHAnsi"/>
        </w:rPr>
        <w:t xml:space="preserve"> and with varied populations</w:t>
      </w:r>
      <w:r w:rsidR="005B35C5" w:rsidRPr="00F03AC4">
        <w:rPr>
          <w:rFonts w:cstheme="minorHAnsi"/>
        </w:rPr>
        <w:t>,</w:t>
      </w:r>
      <w:r w:rsidRPr="00F03AC4">
        <w:rPr>
          <w:rFonts w:cstheme="minorHAnsi"/>
        </w:rPr>
        <w:t xml:space="preserve"> including individuals with subacute and chronic LBP.</w:t>
      </w:r>
    </w:p>
    <w:p w:rsidR="00973A97" w:rsidRPr="00F13747" w:rsidRDefault="00973A97" w:rsidP="00973A97">
      <w:pPr>
        <w:rPr>
          <w:rFonts w:cstheme="minorHAnsi"/>
          <w:color w:val="333333"/>
        </w:rPr>
      </w:pPr>
    </w:p>
    <w:p w:rsidR="00973A97" w:rsidRPr="00973A97" w:rsidRDefault="00973A97" w:rsidP="00973A97">
      <w:pPr>
        <w:rPr>
          <w:rFonts w:cstheme="minorHAnsi"/>
          <w:b/>
          <w:color w:val="000000"/>
        </w:rPr>
      </w:pPr>
      <w:r>
        <w:rPr>
          <w:rFonts w:cstheme="minorHAnsi"/>
          <w:b/>
          <w:color w:val="000000"/>
        </w:rPr>
        <w:t xml:space="preserve">Chronic </w:t>
      </w:r>
      <w:r w:rsidRPr="00973A97">
        <w:rPr>
          <w:rFonts w:cstheme="minorHAnsi"/>
          <w:b/>
          <w:color w:val="000000"/>
        </w:rPr>
        <w:t>Neck Pain</w:t>
      </w:r>
    </w:p>
    <w:p w:rsidR="00973A97" w:rsidRDefault="00973A97" w:rsidP="00973A97">
      <w:pPr>
        <w:rPr>
          <w:rFonts w:cstheme="minorHAnsi"/>
          <w:color w:val="000000"/>
        </w:rPr>
      </w:pPr>
      <w:r w:rsidRPr="00F13747">
        <w:rPr>
          <w:rFonts w:cstheme="minorHAnsi"/>
          <w:color w:val="000000"/>
        </w:rPr>
        <w:t xml:space="preserve">Côté, P., Wong, J.J., Sutton, D. et al. </w:t>
      </w:r>
      <w:r w:rsidRPr="00A60C87">
        <w:rPr>
          <w:rFonts w:cstheme="minorHAnsi"/>
          <w:color w:val="000000"/>
        </w:rPr>
        <w:t xml:space="preserve">Management of neck pain and associated disorders: </w:t>
      </w:r>
      <w:hyperlink r:id="rId11" w:history="1">
        <w:r w:rsidRPr="00A60C87">
          <w:rPr>
            <w:rStyle w:val="Hyperlink"/>
            <w:rFonts w:cstheme="minorHAnsi"/>
          </w:rPr>
          <w:t>A clinical practice guideline from the Ontario Protocol for Traffic Injury Management (</w:t>
        </w:r>
        <w:proofErr w:type="spellStart"/>
        <w:r w:rsidRPr="00A60C87">
          <w:rPr>
            <w:rStyle w:val="Hyperlink"/>
            <w:rFonts w:cstheme="minorHAnsi"/>
          </w:rPr>
          <w:t>OPTIMa</w:t>
        </w:r>
        <w:proofErr w:type="spellEnd"/>
        <w:r w:rsidRPr="00A60C87">
          <w:rPr>
            <w:rStyle w:val="Hyperlink"/>
            <w:rFonts w:cstheme="minorHAnsi"/>
          </w:rPr>
          <w:t>) Collaboration</w:t>
        </w:r>
      </w:hyperlink>
      <w:r>
        <w:rPr>
          <w:rFonts w:cstheme="minorHAnsi"/>
          <w:color w:val="000000"/>
        </w:rPr>
        <w:t>.</w:t>
      </w:r>
      <w:r w:rsidRPr="00A60C87">
        <w:rPr>
          <w:rFonts w:cstheme="minorHAnsi"/>
          <w:color w:val="000000"/>
        </w:rPr>
        <w:t xml:space="preserve"> </w:t>
      </w:r>
      <w:proofErr w:type="spellStart"/>
      <w:r w:rsidRPr="00F13747">
        <w:rPr>
          <w:rFonts w:cstheme="minorHAnsi"/>
          <w:color w:val="000000"/>
        </w:rPr>
        <w:t>Eur</w:t>
      </w:r>
      <w:proofErr w:type="spellEnd"/>
      <w:r w:rsidRPr="00F13747">
        <w:rPr>
          <w:rFonts w:cstheme="minorHAnsi"/>
          <w:color w:val="000000"/>
        </w:rPr>
        <w:t xml:space="preserve"> Spine J (2016) 25: 2000. </w:t>
      </w:r>
      <w:r w:rsidRPr="007434DD">
        <w:rPr>
          <w:rFonts w:cstheme="minorHAnsi"/>
          <w:color w:val="000000"/>
        </w:rPr>
        <w:t>doi.org/10.1007/s00586-016-4467-7</w:t>
      </w:r>
      <w:r>
        <w:rPr>
          <w:rFonts w:cstheme="minorHAnsi"/>
          <w:color w:val="000000"/>
        </w:rPr>
        <w:t xml:space="preserve">. </w:t>
      </w:r>
    </w:p>
    <w:p w:rsidR="00973A97" w:rsidRDefault="00973A97" w:rsidP="00973A97">
      <w:pPr>
        <w:rPr>
          <w:rFonts w:cstheme="minorHAnsi"/>
          <w:color w:val="000000"/>
        </w:rPr>
      </w:pPr>
      <w:r>
        <w:rPr>
          <w:rFonts w:cstheme="minorHAnsi"/>
          <w:color w:val="000000"/>
        </w:rPr>
        <w:t>T</w:t>
      </w:r>
      <w:r w:rsidRPr="00D34D31">
        <w:rPr>
          <w:rFonts w:cstheme="minorHAnsi"/>
          <w:color w:val="000000"/>
        </w:rPr>
        <w:t xml:space="preserve">he </w:t>
      </w:r>
      <w:proofErr w:type="spellStart"/>
      <w:r w:rsidRPr="00D34D31">
        <w:rPr>
          <w:rFonts w:cstheme="minorHAnsi"/>
          <w:color w:val="000000"/>
        </w:rPr>
        <w:t>OPTIMa</w:t>
      </w:r>
      <w:proofErr w:type="spellEnd"/>
      <w:r w:rsidRPr="00D34D31">
        <w:rPr>
          <w:rFonts w:cstheme="minorHAnsi"/>
          <w:color w:val="000000"/>
        </w:rPr>
        <w:t xml:space="preserve"> guid</w:t>
      </w:r>
      <w:r w:rsidR="005B35C5">
        <w:rPr>
          <w:rFonts w:cstheme="minorHAnsi"/>
          <w:color w:val="000000"/>
        </w:rPr>
        <w:t>elines included</w:t>
      </w:r>
      <w:r w:rsidR="005B5A2B">
        <w:rPr>
          <w:rFonts w:cstheme="minorHAnsi"/>
          <w:color w:val="000000"/>
        </w:rPr>
        <w:t xml:space="preserve"> </w:t>
      </w:r>
      <w:r w:rsidR="005B35C5">
        <w:rPr>
          <w:rFonts w:cstheme="minorHAnsi"/>
          <w:color w:val="000000"/>
        </w:rPr>
        <w:t>studies</w:t>
      </w:r>
      <w:r w:rsidR="005B5A2B">
        <w:rPr>
          <w:rFonts w:cstheme="minorHAnsi"/>
          <w:color w:val="000000"/>
        </w:rPr>
        <w:t xml:space="preserve"> </w:t>
      </w:r>
      <w:proofErr w:type="gramStart"/>
      <w:r w:rsidR="005B5A2B">
        <w:rPr>
          <w:rFonts w:cstheme="minorHAnsi"/>
          <w:color w:val="000000"/>
        </w:rPr>
        <w:t>similar to</w:t>
      </w:r>
      <w:proofErr w:type="gramEnd"/>
      <w:r w:rsidR="005B5A2B">
        <w:rPr>
          <w:rFonts w:cstheme="minorHAnsi"/>
          <w:color w:val="000000"/>
        </w:rPr>
        <w:t xml:space="preserve"> those in a recent Agency for Healthcare Research and Quality (</w:t>
      </w:r>
      <w:r w:rsidR="005B5A2B" w:rsidRPr="00D34D31">
        <w:rPr>
          <w:rFonts w:cstheme="minorHAnsi"/>
          <w:color w:val="000000"/>
        </w:rPr>
        <w:t>AHRQ</w:t>
      </w:r>
      <w:r w:rsidR="005B5A2B">
        <w:rPr>
          <w:rFonts w:cstheme="minorHAnsi"/>
          <w:color w:val="000000"/>
        </w:rPr>
        <w:t>)</w:t>
      </w:r>
      <w:r w:rsidR="005B5A2B" w:rsidRPr="00D34D31">
        <w:rPr>
          <w:rFonts w:cstheme="minorHAnsi"/>
          <w:color w:val="000000"/>
        </w:rPr>
        <w:t xml:space="preserve"> review</w:t>
      </w:r>
      <w:r w:rsidR="005B35C5">
        <w:rPr>
          <w:rFonts w:cstheme="minorHAnsi"/>
          <w:color w:val="000000"/>
        </w:rPr>
        <w:t>;</w:t>
      </w:r>
      <w:r>
        <w:rPr>
          <w:rFonts w:cstheme="minorHAnsi"/>
          <w:color w:val="000000"/>
        </w:rPr>
        <w:t xml:space="preserve"> however,</w:t>
      </w:r>
      <w:r w:rsidRPr="00D34D31">
        <w:rPr>
          <w:rFonts w:cstheme="minorHAnsi"/>
          <w:color w:val="000000"/>
        </w:rPr>
        <w:t xml:space="preserve"> they concluded with a stronger </w:t>
      </w:r>
      <w:r w:rsidR="00B4521D" w:rsidRPr="00D34D31">
        <w:rPr>
          <w:rFonts w:cstheme="minorHAnsi"/>
          <w:color w:val="000000"/>
        </w:rPr>
        <w:t>recommendation,</w:t>
      </w:r>
      <w:r w:rsidRPr="00D34D31">
        <w:rPr>
          <w:rFonts w:cstheme="minorHAnsi"/>
          <w:color w:val="000000"/>
        </w:rPr>
        <w:t xml:space="preserve"> advocating use of spinal manipulation/mobi</w:t>
      </w:r>
      <w:r w:rsidR="005B35C5">
        <w:rPr>
          <w:rFonts w:cstheme="minorHAnsi"/>
          <w:color w:val="000000"/>
        </w:rPr>
        <w:t>lization combined with exercise</w:t>
      </w:r>
      <w:r w:rsidRPr="00D34D31">
        <w:rPr>
          <w:rFonts w:cstheme="minorHAnsi"/>
          <w:color w:val="000000"/>
        </w:rPr>
        <w:t xml:space="preserve"> and massage for chronic neck pain</w:t>
      </w:r>
      <w:r>
        <w:rPr>
          <w:rFonts w:cstheme="minorHAnsi"/>
          <w:color w:val="000000"/>
        </w:rPr>
        <w:t>.</w:t>
      </w:r>
    </w:p>
    <w:p w:rsidR="00600EB6" w:rsidRDefault="00600EB6" w:rsidP="00973A97">
      <w:pPr>
        <w:rPr>
          <w:rFonts w:cstheme="minorHAnsi"/>
          <w:color w:val="000000"/>
        </w:rPr>
      </w:pPr>
    </w:p>
    <w:p w:rsidR="00600EB6" w:rsidRPr="0052419C" w:rsidRDefault="00600EB6" w:rsidP="00973A97">
      <w:pPr>
        <w:rPr>
          <w:rFonts w:cstheme="minorHAnsi"/>
          <w:b/>
          <w:color w:val="000000"/>
        </w:rPr>
      </w:pPr>
      <w:r w:rsidRPr="0052419C">
        <w:rPr>
          <w:rFonts w:cstheme="minorHAnsi"/>
          <w:b/>
          <w:color w:val="000000"/>
        </w:rPr>
        <w:t>Chiropractic Care for Older Medicare Patients</w:t>
      </w:r>
    </w:p>
    <w:p w:rsidR="008C1946" w:rsidRPr="00880F90" w:rsidRDefault="008C1946" w:rsidP="008C1946">
      <w:pPr>
        <w:shd w:val="clear" w:color="auto" w:fill="FFFFFF"/>
      </w:pPr>
      <w:r w:rsidRPr="00880F90">
        <w:t xml:space="preserve">Weeks, William B et al. </w:t>
      </w:r>
      <w:hyperlink r:id="rId12" w:history="1">
        <w:r w:rsidRPr="00712562">
          <w:rPr>
            <w:rStyle w:val="Hyperlink"/>
          </w:rPr>
          <w:t xml:space="preserve">The Association Between Use of Chiropractic Care and Costs of Care Among Older Medicare Patients </w:t>
        </w:r>
        <w:proofErr w:type="gramStart"/>
        <w:r w:rsidRPr="00712562">
          <w:rPr>
            <w:rStyle w:val="Hyperlink"/>
          </w:rPr>
          <w:t>With</w:t>
        </w:r>
        <w:proofErr w:type="gramEnd"/>
        <w:r w:rsidRPr="00712562">
          <w:rPr>
            <w:rStyle w:val="Hyperlink"/>
          </w:rPr>
          <w:t xml:space="preserve"> Chronic Low Back Pain and Multiple Comorbidities</w:t>
        </w:r>
      </w:hyperlink>
    </w:p>
    <w:p w:rsidR="008C1946" w:rsidRPr="00880F90" w:rsidRDefault="008C1946" w:rsidP="008C1946">
      <w:pPr>
        <w:shd w:val="clear" w:color="auto" w:fill="FFFFFF"/>
      </w:pPr>
      <w:r w:rsidRPr="00880F90">
        <w:t xml:space="preserve">Journal of Manipulative &amp; Physiological </w:t>
      </w:r>
      <w:r w:rsidR="006B784B">
        <w:t>Therapeutics,</w:t>
      </w:r>
      <w:r w:rsidRPr="00880F90">
        <w:t xml:space="preserve"> Volume 39, Issue 2, 63 - </w:t>
      </w:r>
      <w:proofErr w:type="gramStart"/>
      <w:r w:rsidRPr="00880F90">
        <w:t>75.e</w:t>
      </w:r>
      <w:proofErr w:type="gramEnd"/>
      <w:r w:rsidRPr="00880F90">
        <w:t>2</w:t>
      </w:r>
    </w:p>
    <w:p w:rsidR="00450720" w:rsidRPr="00450720" w:rsidRDefault="00450720" w:rsidP="00973A97">
      <w:pPr>
        <w:rPr>
          <w:rFonts w:cstheme="minorHAnsi"/>
        </w:rPr>
      </w:pPr>
      <w:r w:rsidRPr="00712562">
        <w:rPr>
          <w:shd w:val="clear" w:color="auto" w:fill="FAFAFA"/>
        </w:rPr>
        <w:t xml:space="preserve">This study found that older multiply-comorbid patients who used only </w:t>
      </w:r>
      <w:r w:rsidR="00C11C10" w:rsidRPr="00712562">
        <w:rPr>
          <w:shd w:val="clear" w:color="auto" w:fill="FAFAFA"/>
        </w:rPr>
        <w:t>chiropractic manipulative treatment (</w:t>
      </w:r>
      <w:r w:rsidRPr="00712562">
        <w:rPr>
          <w:shd w:val="clear" w:color="auto" w:fill="FAFAFA"/>
        </w:rPr>
        <w:t>CMT</w:t>
      </w:r>
      <w:r w:rsidR="00C11C10" w:rsidRPr="00712562">
        <w:rPr>
          <w:shd w:val="clear" w:color="auto" w:fill="FAFAFA"/>
        </w:rPr>
        <w:t>)</w:t>
      </w:r>
      <w:r w:rsidRPr="00712562">
        <w:rPr>
          <w:shd w:val="clear" w:color="auto" w:fill="FAFAFA"/>
        </w:rPr>
        <w:t xml:space="preserve"> during </w:t>
      </w:r>
      <w:r w:rsidRPr="00450720">
        <w:rPr>
          <w:shd w:val="clear" w:color="auto" w:fill="FAFAFA"/>
        </w:rPr>
        <w:t xml:space="preserve">their </w:t>
      </w:r>
      <w:r w:rsidR="00C11C10">
        <w:rPr>
          <w:shd w:val="clear" w:color="auto" w:fill="FAFAFA"/>
        </w:rPr>
        <w:t xml:space="preserve">chronic </w:t>
      </w:r>
      <w:r w:rsidR="005B5A2B">
        <w:rPr>
          <w:shd w:val="clear" w:color="auto" w:fill="FAFAFA"/>
        </w:rPr>
        <w:t>l</w:t>
      </w:r>
      <w:r w:rsidR="00C11C10">
        <w:rPr>
          <w:shd w:val="clear" w:color="auto" w:fill="FAFAFA"/>
        </w:rPr>
        <w:t xml:space="preserve">ow </w:t>
      </w:r>
      <w:r w:rsidR="005B5A2B">
        <w:rPr>
          <w:shd w:val="clear" w:color="auto" w:fill="FAFAFA"/>
        </w:rPr>
        <w:t>b</w:t>
      </w:r>
      <w:r w:rsidR="00C11C10">
        <w:rPr>
          <w:shd w:val="clear" w:color="auto" w:fill="FAFAFA"/>
        </w:rPr>
        <w:t xml:space="preserve">ack </w:t>
      </w:r>
      <w:r w:rsidR="005B5A2B">
        <w:rPr>
          <w:shd w:val="clear" w:color="auto" w:fill="FAFAFA"/>
        </w:rPr>
        <w:t>p</w:t>
      </w:r>
      <w:r w:rsidR="00C11C10">
        <w:rPr>
          <w:shd w:val="clear" w:color="auto" w:fill="FAFAFA"/>
        </w:rPr>
        <w:t>ain (</w:t>
      </w:r>
      <w:r w:rsidR="00880F90">
        <w:rPr>
          <w:shd w:val="clear" w:color="auto" w:fill="FAFAFA"/>
        </w:rPr>
        <w:t>c</w:t>
      </w:r>
      <w:r w:rsidRPr="00450720">
        <w:rPr>
          <w:shd w:val="clear" w:color="auto" w:fill="FAFAFA"/>
        </w:rPr>
        <w:t>LBP</w:t>
      </w:r>
      <w:r w:rsidR="00C11C10">
        <w:rPr>
          <w:shd w:val="clear" w:color="auto" w:fill="FAFAFA"/>
        </w:rPr>
        <w:t>)</w:t>
      </w:r>
      <w:r w:rsidRPr="00450720">
        <w:rPr>
          <w:shd w:val="clear" w:color="auto" w:fill="FAFAFA"/>
        </w:rPr>
        <w:t xml:space="preserve"> episodes had lower overall costs of care, shorter episodes, and lower cost of care per episode day than patients in the other treatment groups. Further, costs of care for the episode and per episode day were lower for patients who used a combination of CMT and conventional medical care than for patients who did not use any CMT. These findings support initial CMT use in the treatment of, and possibly broader chiropractic management of, older multiply-comorbid cLBP patients.</w:t>
      </w:r>
    </w:p>
    <w:p w:rsidR="00600EB6" w:rsidRDefault="00600EB6" w:rsidP="00973A97">
      <w:pPr>
        <w:rPr>
          <w:rFonts w:cstheme="minorHAnsi"/>
          <w:color w:val="000000"/>
        </w:rPr>
      </w:pPr>
    </w:p>
    <w:p w:rsidR="00600EB6" w:rsidRDefault="0048090A" w:rsidP="00973A97">
      <w:pPr>
        <w:rPr>
          <w:rFonts w:cstheme="minorHAnsi"/>
          <w:b/>
          <w:color w:val="000000"/>
        </w:rPr>
      </w:pPr>
      <w:r w:rsidRPr="0052419C">
        <w:rPr>
          <w:rFonts w:cstheme="minorHAnsi"/>
          <w:b/>
          <w:color w:val="000000"/>
        </w:rPr>
        <w:t>Chiropractic Care for Younger Medicare Patients</w:t>
      </w:r>
    </w:p>
    <w:p w:rsidR="007C659A" w:rsidRPr="00F03AC4" w:rsidRDefault="006529A6" w:rsidP="007C659A">
      <w:pPr>
        <w:shd w:val="clear" w:color="auto" w:fill="FFFFFF"/>
      </w:pPr>
      <w:r w:rsidRPr="00F03AC4">
        <w:t xml:space="preserve">Weeks, William B. et al. </w:t>
      </w:r>
      <w:hyperlink r:id="rId13" w:history="1">
        <w:r w:rsidR="007C659A" w:rsidRPr="00F03AC4">
          <w:rPr>
            <w:rStyle w:val="Hyperlink"/>
          </w:rPr>
          <w:t>Cross-Sectional Analysis of Per Capita Supply of Doctors of Chiropractic and Opioid Use in Younger Medicare Beneficiaries</w:t>
        </w:r>
      </w:hyperlink>
      <w:r w:rsidRPr="00F03AC4">
        <w:rPr>
          <w:bCs/>
        </w:rPr>
        <w:t xml:space="preserve">. </w:t>
      </w:r>
      <w:r w:rsidR="007C659A" w:rsidRPr="00F03AC4">
        <w:t>Journal of Manipulative &amp; Physiological Therapeutics, Volume 39, Issue 4, 263 - 266</w:t>
      </w:r>
    </w:p>
    <w:p w:rsidR="00CB58A5" w:rsidRPr="00CB58A5" w:rsidRDefault="00CB58A5" w:rsidP="00973A97">
      <w:pPr>
        <w:rPr>
          <w:rFonts w:cstheme="minorHAnsi"/>
          <w:color w:val="000000"/>
        </w:rPr>
      </w:pPr>
      <w:r>
        <w:rPr>
          <w:rFonts w:cstheme="minorHAnsi"/>
          <w:color w:val="000000"/>
        </w:rPr>
        <w:t xml:space="preserve">This study finds that a higher number of </w:t>
      </w:r>
      <w:r w:rsidR="00E563DC">
        <w:rPr>
          <w:rFonts w:cstheme="minorHAnsi"/>
          <w:color w:val="000000"/>
        </w:rPr>
        <w:t>DCs per capita is strongly correlated with a lower proportion of Medicare patien</w:t>
      </w:r>
      <w:r w:rsidR="00583D57">
        <w:rPr>
          <w:rFonts w:cstheme="minorHAnsi"/>
          <w:color w:val="000000"/>
        </w:rPr>
        <w:t>ts who fill opioid prescriptions</w:t>
      </w:r>
      <w:r w:rsidR="005D2C1F">
        <w:rPr>
          <w:rFonts w:cstheme="minorHAnsi"/>
          <w:color w:val="000000"/>
        </w:rPr>
        <w:t>;</w:t>
      </w:r>
      <w:r w:rsidR="00583D57">
        <w:rPr>
          <w:rFonts w:cstheme="minorHAnsi"/>
          <w:color w:val="000000"/>
        </w:rPr>
        <w:t xml:space="preserve"> in short more DCs could mean fewer opioid prescriptions for younger Medicare beneficiaries.</w:t>
      </w:r>
    </w:p>
    <w:p w:rsidR="0048090A" w:rsidRDefault="0048090A" w:rsidP="00973A97">
      <w:pPr>
        <w:rPr>
          <w:rFonts w:cstheme="minorHAnsi"/>
          <w:color w:val="000000"/>
        </w:rPr>
      </w:pPr>
    </w:p>
    <w:p w:rsidR="0048090A" w:rsidRPr="00F028CC" w:rsidRDefault="0048090A" w:rsidP="00973A97">
      <w:pPr>
        <w:rPr>
          <w:rFonts w:cstheme="minorHAnsi"/>
          <w:b/>
          <w:color w:val="000000"/>
        </w:rPr>
      </w:pPr>
      <w:r w:rsidRPr="00F028CC">
        <w:rPr>
          <w:rFonts w:cstheme="minorHAnsi"/>
          <w:b/>
          <w:color w:val="000000"/>
        </w:rPr>
        <w:t>Reduced Me</w:t>
      </w:r>
      <w:r w:rsidR="0005764C" w:rsidRPr="00F028CC">
        <w:rPr>
          <w:rFonts w:cstheme="minorHAnsi"/>
          <w:b/>
          <w:color w:val="000000"/>
        </w:rPr>
        <w:t>dicare Costs with Chiropractic Care</w:t>
      </w:r>
    </w:p>
    <w:p w:rsidR="003D2467" w:rsidRPr="00AB6A26" w:rsidRDefault="003D2467" w:rsidP="00AB6A26">
      <w:pPr>
        <w:shd w:val="clear" w:color="auto" w:fill="FFFFFF"/>
        <w:rPr>
          <w:rFonts w:cs="Arial"/>
          <w:color w:val="000000"/>
        </w:rPr>
      </w:pPr>
      <w:r w:rsidRPr="00AB6A26">
        <w:rPr>
          <w:rFonts w:cs="Arial"/>
          <w:color w:val="000000"/>
        </w:rPr>
        <w:t>Davis MA, </w:t>
      </w:r>
      <w:proofErr w:type="spellStart"/>
      <w:r w:rsidRPr="00AB6A26">
        <w:rPr>
          <w:rFonts w:cs="Arial"/>
          <w:color w:val="000000"/>
        </w:rPr>
        <w:t>Yakusheva</w:t>
      </w:r>
      <w:proofErr w:type="spellEnd"/>
      <w:r w:rsidRPr="00AB6A26">
        <w:rPr>
          <w:rFonts w:cs="Arial"/>
          <w:color w:val="000000"/>
        </w:rPr>
        <w:t xml:space="preserve"> O, Gottlieb DJ, Bynum JP</w:t>
      </w:r>
      <w:r w:rsidR="00AB6A26" w:rsidRPr="00AB6A26">
        <w:rPr>
          <w:rFonts w:cs="Arial"/>
          <w:color w:val="000000"/>
        </w:rPr>
        <w:t xml:space="preserve"> </w:t>
      </w:r>
      <w:hyperlink r:id="rId14" w:history="1">
        <w:r w:rsidRPr="00AB6A26">
          <w:rPr>
            <w:rStyle w:val="Hyperlink"/>
            <w:rFonts w:cs="Arial"/>
          </w:rPr>
          <w:t>Regional Supply of Chiropractic Care and Visits to Primary Care Physicians for Back and Neck Pain</w:t>
        </w:r>
      </w:hyperlink>
      <w:r w:rsidRPr="00AB6A26">
        <w:rPr>
          <w:rFonts w:cs="Arial"/>
          <w:color w:val="000000"/>
        </w:rPr>
        <w:t>. J Am Board Fam Med. 2015 Jul-Aug;</w:t>
      </w:r>
      <w:r w:rsidR="001C6891">
        <w:rPr>
          <w:rFonts w:cs="Arial"/>
          <w:color w:val="000000"/>
        </w:rPr>
        <w:t xml:space="preserve"> </w:t>
      </w:r>
      <w:r w:rsidRPr="00AB6A26">
        <w:rPr>
          <w:rFonts w:cs="Arial"/>
          <w:color w:val="000000"/>
        </w:rPr>
        <w:t xml:space="preserve">28(4):481-90. </w:t>
      </w:r>
      <w:proofErr w:type="spellStart"/>
      <w:r w:rsidRPr="00AB6A26">
        <w:rPr>
          <w:rFonts w:cs="Arial"/>
          <w:color w:val="000000"/>
        </w:rPr>
        <w:t>doi</w:t>
      </w:r>
      <w:proofErr w:type="spellEnd"/>
      <w:r w:rsidRPr="00AB6A26">
        <w:rPr>
          <w:rFonts w:cs="Arial"/>
          <w:color w:val="000000"/>
        </w:rPr>
        <w:t>: 10.3122/jabfm.2015.04.150005.</w:t>
      </w:r>
    </w:p>
    <w:p w:rsidR="0005764C" w:rsidRDefault="0005764C" w:rsidP="00973A97">
      <w:pPr>
        <w:rPr>
          <w:rFonts w:cstheme="minorHAnsi"/>
          <w:color w:val="000000"/>
        </w:rPr>
      </w:pPr>
      <w:r>
        <w:rPr>
          <w:rFonts w:cstheme="minorHAnsi"/>
          <w:color w:val="000000"/>
        </w:rPr>
        <w:lastRenderedPageBreak/>
        <w:t>Researchers have estimated that chiropractic care may reduce the number of Medicare patient visits</w:t>
      </w:r>
      <w:r w:rsidR="0052419C">
        <w:rPr>
          <w:rFonts w:cstheme="minorHAnsi"/>
          <w:color w:val="000000"/>
        </w:rPr>
        <w:t xml:space="preserve"> to primary care medical physicians for back and/or neck pain, resulting in annual savings of $83.5 million to the Medicare program.</w:t>
      </w:r>
    </w:p>
    <w:p w:rsidR="00973A97" w:rsidRPr="00D34D31" w:rsidRDefault="00973A97" w:rsidP="00973A97">
      <w:pPr>
        <w:rPr>
          <w:rFonts w:cstheme="minorHAnsi"/>
          <w:color w:val="000000"/>
        </w:rPr>
      </w:pPr>
    </w:p>
    <w:p w:rsidR="00973A97" w:rsidRDefault="0012710A" w:rsidP="00973A97">
      <w:pPr>
        <w:rPr>
          <w:rFonts w:eastAsia="Times New Roman" w:cstheme="minorHAnsi"/>
        </w:rPr>
      </w:pPr>
      <w:r>
        <w:rPr>
          <w:rFonts w:eastAsia="Times New Roman" w:cstheme="minorHAnsi"/>
        </w:rPr>
        <w:t>N</w:t>
      </w:r>
      <w:r w:rsidR="00973A97" w:rsidRPr="00C07627">
        <w:rPr>
          <w:rFonts w:eastAsia="Times New Roman" w:cstheme="minorHAnsi"/>
        </w:rPr>
        <w:t>onpharmacologic</w:t>
      </w:r>
      <w:r w:rsidR="00973A97">
        <w:rPr>
          <w:rFonts w:eastAsia="Times New Roman" w:cstheme="minorHAnsi"/>
        </w:rPr>
        <w:t>al</w:t>
      </w:r>
      <w:r w:rsidR="00973A97" w:rsidRPr="00C07627">
        <w:rPr>
          <w:rFonts w:eastAsia="Times New Roman" w:cstheme="minorHAnsi"/>
        </w:rPr>
        <w:t xml:space="preserve"> therapies have become a vital pa</w:t>
      </w:r>
      <w:r w:rsidR="00973A97">
        <w:rPr>
          <w:rFonts w:eastAsia="Times New Roman" w:cstheme="minorHAnsi"/>
        </w:rPr>
        <w:t>rt of managing chronic pain. T</w:t>
      </w:r>
      <w:r w:rsidR="00973A97" w:rsidRPr="00C07627">
        <w:rPr>
          <w:rFonts w:eastAsia="Times New Roman" w:cstheme="minorHAnsi"/>
        </w:rPr>
        <w:t xml:space="preserve">hese can be used as stand-alone therapies; </w:t>
      </w:r>
      <w:r w:rsidR="00973A97">
        <w:rPr>
          <w:rFonts w:eastAsia="Times New Roman" w:cstheme="minorHAnsi"/>
        </w:rPr>
        <w:t xml:space="preserve">however, </w:t>
      </w:r>
      <w:r w:rsidR="00973A97" w:rsidRPr="00C07627">
        <w:rPr>
          <w:rFonts w:eastAsia="Times New Roman" w:cstheme="minorHAnsi"/>
        </w:rPr>
        <w:t>nonpharmacologic</w:t>
      </w:r>
      <w:r w:rsidR="00973A97">
        <w:rPr>
          <w:rFonts w:eastAsia="Times New Roman" w:cstheme="minorHAnsi"/>
        </w:rPr>
        <w:t>al</w:t>
      </w:r>
      <w:r w:rsidR="00973A97" w:rsidRPr="00C07627">
        <w:rPr>
          <w:rFonts w:eastAsia="Times New Roman" w:cstheme="minorHAnsi"/>
        </w:rPr>
        <w:t xml:space="preserve"> treatments often are used to augment and complement pharmacologic</w:t>
      </w:r>
      <w:r w:rsidR="00973A97">
        <w:rPr>
          <w:rFonts w:eastAsia="Times New Roman" w:cstheme="minorHAnsi"/>
        </w:rPr>
        <w:t>al</w:t>
      </w:r>
      <w:r w:rsidR="00973A97" w:rsidRPr="00C07627">
        <w:rPr>
          <w:rFonts w:eastAsia="Times New Roman" w:cstheme="minorHAnsi"/>
        </w:rPr>
        <w:t xml:space="preserve"> treatments</w:t>
      </w:r>
      <w:r w:rsidR="00973A97">
        <w:rPr>
          <w:rFonts w:eastAsia="Times New Roman" w:cstheme="minorHAnsi"/>
        </w:rPr>
        <w:t>.</w:t>
      </w:r>
      <w:r w:rsidR="00973A97" w:rsidRPr="00C07627">
        <w:rPr>
          <w:rFonts w:eastAsia="Times New Roman" w:cstheme="minorHAnsi"/>
        </w:rPr>
        <w:t xml:space="preserve"> Choice of nonpharmacologic</w:t>
      </w:r>
      <w:r w:rsidR="00973A97">
        <w:rPr>
          <w:rFonts w:eastAsia="Times New Roman" w:cstheme="minorHAnsi"/>
        </w:rPr>
        <w:t>al</w:t>
      </w:r>
      <w:r w:rsidR="00973A97" w:rsidRPr="00C07627">
        <w:rPr>
          <w:rFonts w:eastAsia="Times New Roman" w:cstheme="minorHAnsi"/>
        </w:rPr>
        <w:t xml:space="preserve"> i</w:t>
      </w:r>
      <w:r w:rsidR="00973A97">
        <w:rPr>
          <w:rFonts w:eastAsia="Times New Roman" w:cstheme="minorHAnsi"/>
        </w:rPr>
        <w:t xml:space="preserve">ntervention is determined by the nature of each case, </w:t>
      </w:r>
      <w:r w:rsidR="00973A97" w:rsidRPr="00C07627">
        <w:rPr>
          <w:rFonts w:eastAsia="Times New Roman" w:cstheme="minorHAnsi"/>
        </w:rPr>
        <w:t>what works</w:t>
      </w:r>
      <w:r w:rsidR="00973A97">
        <w:rPr>
          <w:rFonts w:eastAsia="Times New Roman" w:cstheme="minorHAnsi"/>
        </w:rPr>
        <w:t xml:space="preserve"> for a specific patient and </w:t>
      </w:r>
      <w:r w:rsidR="00973A97" w:rsidRPr="00C07627">
        <w:rPr>
          <w:rFonts w:eastAsia="Times New Roman" w:cstheme="minorHAnsi"/>
        </w:rPr>
        <w:t xml:space="preserve">the skills of the clinician. </w:t>
      </w:r>
      <w:r>
        <w:rPr>
          <w:rFonts w:eastAsia="Times New Roman" w:cstheme="minorHAnsi"/>
        </w:rPr>
        <w:t xml:space="preserve">However, the research is clear: </w:t>
      </w:r>
      <w:r w:rsidR="00973A97" w:rsidRPr="0012710A">
        <w:rPr>
          <w:rFonts w:eastAsia="Times New Roman" w:cstheme="minorHAnsi"/>
          <w:u w:val="single"/>
        </w:rPr>
        <w:t xml:space="preserve">Noninvasive, nonpharmacological interventions may present less risk to the patient than invasive or pharmacological measures and therefore </w:t>
      </w:r>
      <w:r w:rsidR="005B5A2B">
        <w:rPr>
          <w:rFonts w:eastAsia="Times New Roman" w:cstheme="minorHAnsi"/>
          <w:u w:val="single"/>
        </w:rPr>
        <w:t>underscore</w:t>
      </w:r>
      <w:r w:rsidR="005B5A2B" w:rsidRPr="0012710A">
        <w:rPr>
          <w:rFonts w:eastAsia="Times New Roman" w:cstheme="minorHAnsi"/>
          <w:u w:val="single"/>
        </w:rPr>
        <w:t xml:space="preserve"> </w:t>
      </w:r>
      <w:r w:rsidR="00973A97" w:rsidRPr="0012710A">
        <w:rPr>
          <w:rFonts w:eastAsia="Times New Roman" w:cstheme="minorHAnsi"/>
          <w:u w:val="single"/>
        </w:rPr>
        <w:t>the need for greater access to and integration of safe and affordable alternatives.</w:t>
      </w:r>
    </w:p>
    <w:p w:rsidR="00973A97" w:rsidRPr="00C07627" w:rsidRDefault="00973A97" w:rsidP="00973A97">
      <w:pPr>
        <w:rPr>
          <w:rFonts w:eastAsia="Times New Roman" w:cstheme="minorHAnsi"/>
        </w:rPr>
      </w:pPr>
    </w:p>
    <w:p w:rsidR="00973A97" w:rsidRPr="00D34D31" w:rsidRDefault="00973A97" w:rsidP="00973A97">
      <w:pPr>
        <w:rPr>
          <w:rFonts w:cstheme="minorHAnsi"/>
        </w:rPr>
      </w:pPr>
      <w:r w:rsidRPr="00D34D31">
        <w:rPr>
          <w:rFonts w:cstheme="minorHAnsi"/>
        </w:rPr>
        <w:t xml:space="preserve">If you have any questions regarding our comments or need more information, please contact </w:t>
      </w:r>
      <w:r w:rsidR="008A1B15">
        <w:rPr>
          <w:rFonts w:cstheme="minorHAnsi"/>
        </w:rPr>
        <w:t xml:space="preserve">me at </w:t>
      </w:r>
      <w:hyperlink r:id="rId15" w:history="1">
        <w:r w:rsidR="008A1B15" w:rsidRPr="00D21805">
          <w:rPr>
            <w:rStyle w:val="Hyperlink"/>
            <w:rFonts w:cstheme="minorHAnsi"/>
          </w:rPr>
          <w:t>jfalardeau@acatoday.org</w:t>
        </w:r>
      </w:hyperlink>
      <w:r w:rsidRPr="00D34D31">
        <w:rPr>
          <w:rFonts w:cstheme="minorHAnsi"/>
        </w:rPr>
        <w:t xml:space="preserve"> or 703-812-02</w:t>
      </w:r>
      <w:r w:rsidR="008A1B15">
        <w:rPr>
          <w:rFonts w:cstheme="minorHAnsi"/>
        </w:rPr>
        <w:t>14</w:t>
      </w:r>
      <w:r w:rsidRPr="00D34D31">
        <w:rPr>
          <w:rFonts w:cstheme="minorHAnsi"/>
        </w:rPr>
        <w:t>.</w:t>
      </w:r>
    </w:p>
    <w:p w:rsidR="00973A97" w:rsidRDefault="00973A97"/>
    <w:p w:rsidR="00973A97" w:rsidRDefault="00973A97" w:rsidP="00973A97">
      <w:r>
        <w:t xml:space="preserve">Respectfully, </w:t>
      </w:r>
    </w:p>
    <w:p w:rsidR="00973A97" w:rsidRDefault="00B80431" w:rsidP="00973A97">
      <w:pPr>
        <w:rPr>
          <w:noProof/>
        </w:rPr>
      </w:pPr>
      <w:r>
        <w:rPr>
          <w:noProof/>
        </w:rPr>
        <w:drawing>
          <wp:inline distT="0" distB="0" distL="0" distR="0">
            <wp:extent cx="2066925" cy="6762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ALARDEAU_John.bmp"/>
                    <pic:cNvPicPr/>
                  </pic:nvPicPr>
                  <pic:blipFill>
                    <a:blip r:embed="rId16">
                      <a:extLst>
                        <a:ext uri="{28A0092B-C50C-407E-A947-70E740481C1C}">
                          <a14:useLocalDpi xmlns:a14="http://schemas.microsoft.com/office/drawing/2010/main" val="0"/>
                        </a:ext>
                      </a:extLst>
                    </a:blip>
                    <a:stretch>
                      <a:fillRect/>
                    </a:stretch>
                  </pic:blipFill>
                  <pic:spPr>
                    <a:xfrm>
                      <a:off x="0" y="0"/>
                      <a:ext cx="2066925" cy="676275"/>
                    </a:xfrm>
                    <a:prstGeom prst="rect">
                      <a:avLst/>
                    </a:prstGeom>
                  </pic:spPr>
                </pic:pic>
              </a:graphicData>
            </a:graphic>
          </wp:inline>
        </w:drawing>
      </w:r>
    </w:p>
    <w:p w:rsidR="00973A97" w:rsidRDefault="008A1B15" w:rsidP="00973A97">
      <w:r>
        <w:t>John Falardeau</w:t>
      </w:r>
      <w:r w:rsidR="00973A97">
        <w:t xml:space="preserve"> </w:t>
      </w:r>
    </w:p>
    <w:p w:rsidR="00021229" w:rsidRDefault="008A1B15">
      <w:r>
        <w:t xml:space="preserve">Senior Vice </w:t>
      </w:r>
      <w:r w:rsidR="00973A97">
        <w:t>President</w:t>
      </w:r>
      <w:r>
        <w:t>, Public Policy and Advocacy</w:t>
      </w:r>
    </w:p>
    <w:sectPr w:rsidR="00021229" w:rsidSect="00973A97">
      <w:headerReference w:type="default" r:id="rId17"/>
      <w:headerReference w:type="first" r:id="rId18"/>
      <w:pgSz w:w="12240" w:h="15840"/>
      <w:pgMar w:top="1440" w:right="1440" w:bottom="1440" w:left="1440" w:header="28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7B49" w:rsidRDefault="004A7B49" w:rsidP="00FC3394">
      <w:r>
        <w:separator/>
      </w:r>
    </w:p>
  </w:endnote>
  <w:endnote w:type="continuationSeparator" w:id="0">
    <w:p w:rsidR="004A7B49" w:rsidRDefault="004A7B49" w:rsidP="00FC33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7B49" w:rsidRDefault="004A7B49" w:rsidP="00FC3394">
      <w:r>
        <w:separator/>
      </w:r>
    </w:p>
  </w:footnote>
  <w:footnote w:type="continuationSeparator" w:id="0">
    <w:p w:rsidR="004A7B49" w:rsidRDefault="004A7B49" w:rsidP="00FC33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alibri" w:hAnsi="Calibri"/>
      </w:rPr>
      <w:id w:val="-1318336367"/>
      <w:docPartObj>
        <w:docPartGallery w:val="Page Numbers (Top of Page)"/>
        <w:docPartUnique/>
      </w:docPartObj>
    </w:sdtPr>
    <w:sdtEndPr>
      <w:rPr>
        <w:rFonts w:asciiTheme="minorHAnsi" w:hAnsiTheme="minorHAnsi"/>
      </w:rPr>
    </w:sdtEndPr>
    <w:sdtContent>
      <w:p w:rsidR="00A06C6B" w:rsidRPr="00A06C6B" w:rsidRDefault="00A06C6B">
        <w:pPr>
          <w:pStyle w:val="Header"/>
          <w:jc w:val="right"/>
          <w:rPr>
            <w:rFonts w:ascii="Calibri" w:hAnsi="Calibri"/>
          </w:rPr>
        </w:pPr>
        <w:r w:rsidRPr="00A06C6B">
          <w:rPr>
            <w:rFonts w:ascii="Calibri" w:hAnsi="Calibri"/>
          </w:rPr>
          <w:t>American Chiropractic Association</w:t>
        </w:r>
      </w:p>
      <w:p w:rsidR="00A06C6B" w:rsidRDefault="00A06C6B">
        <w:pPr>
          <w:pStyle w:val="Header"/>
          <w:jc w:val="right"/>
        </w:pPr>
        <w:r w:rsidRPr="00A06C6B">
          <w:rPr>
            <w:rFonts w:ascii="Calibri" w:hAnsi="Calibri"/>
          </w:rPr>
          <w:t xml:space="preserve">Page </w:t>
        </w:r>
        <w:r w:rsidRPr="00A06C6B">
          <w:rPr>
            <w:rFonts w:ascii="Calibri" w:hAnsi="Calibri"/>
            <w:b/>
            <w:bCs/>
          </w:rPr>
          <w:fldChar w:fldCharType="begin"/>
        </w:r>
        <w:r w:rsidRPr="00A06C6B">
          <w:rPr>
            <w:rFonts w:ascii="Calibri" w:hAnsi="Calibri"/>
            <w:b/>
            <w:bCs/>
          </w:rPr>
          <w:instrText xml:space="preserve"> PAGE </w:instrText>
        </w:r>
        <w:r w:rsidRPr="00A06C6B">
          <w:rPr>
            <w:rFonts w:ascii="Calibri" w:hAnsi="Calibri"/>
            <w:b/>
            <w:bCs/>
          </w:rPr>
          <w:fldChar w:fldCharType="separate"/>
        </w:r>
        <w:r w:rsidR="00536E0A">
          <w:rPr>
            <w:rFonts w:ascii="Calibri" w:hAnsi="Calibri"/>
            <w:b/>
            <w:bCs/>
            <w:noProof/>
          </w:rPr>
          <w:t>3</w:t>
        </w:r>
        <w:r w:rsidRPr="00A06C6B">
          <w:rPr>
            <w:rFonts w:ascii="Calibri" w:hAnsi="Calibri"/>
            <w:b/>
            <w:bCs/>
          </w:rPr>
          <w:fldChar w:fldCharType="end"/>
        </w:r>
        <w:r w:rsidRPr="00A06C6B">
          <w:rPr>
            <w:rFonts w:ascii="Calibri" w:hAnsi="Calibri"/>
          </w:rPr>
          <w:t xml:space="preserve"> of </w:t>
        </w:r>
        <w:r w:rsidRPr="00A06C6B">
          <w:rPr>
            <w:rFonts w:ascii="Calibri" w:hAnsi="Calibri"/>
            <w:b/>
            <w:bCs/>
          </w:rPr>
          <w:fldChar w:fldCharType="begin"/>
        </w:r>
        <w:r w:rsidRPr="00A06C6B">
          <w:rPr>
            <w:rFonts w:ascii="Calibri" w:hAnsi="Calibri"/>
            <w:b/>
            <w:bCs/>
          </w:rPr>
          <w:instrText xml:space="preserve"> NUMPAGES  </w:instrText>
        </w:r>
        <w:r w:rsidRPr="00A06C6B">
          <w:rPr>
            <w:rFonts w:ascii="Calibri" w:hAnsi="Calibri"/>
            <w:b/>
            <w:bCs/>
          </w:rPr>
          <w:fldChar w:fldCharType="separate"/>
        </w:r>
        <w:r w:rsidR="00536E0A">
          <w:rPr>
            <w:rFonts w:ascii="Calibri" w:hAnsi="Calibri"/>
            <w:b/>
            <w:bCs/>
            <w:noProof/>
          </w:rPr>
          <w:t>3</w:t>
        </w:r>
        <w:r w:rsidRPr="00A06C6B">
          <w:rPr>
            <w:rFonts w:ascii="Calibri" w:hAnsi="Calibri"/>
            <w:b/>
            <w:bCs/>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1229" w:rsidRDefault="0090198C">
    <w:pPr>
      <w:pStyle w:val="Header"/>
    </w:pPr>
    <w:r>
      <w:rPr>
        <w:noProof/>
      </w:rPr>
      <w:drawing>
        <wp:anchor distT="0" distB="0" distL="114300" distR="114300" simplePos="0" relativeHeight="251660288" behindDoc="0" locked="0" layoutInCell="1" allowOverlap="1" wp14:anchorId="58D73462" wp14:editId="634916A8">
          <wp:simplePos x="0" y="0"/>
          <wp:positionH relativeFrom="margin">
            <wp:align>right</wp:align>
          </wp:positionH>
          <wp:positionV relativeFrom="margin">
            <wp:posOffset>-1103630</wp:posOffset>
          </wp:positionV>
          <wp:extent cx="2361565" cy="1005840"/>
          <wp:effectExtent l="0" t="0" r="635" b="381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tterhead.png"/>
                  <pic:cNvPicPr/>
                </pic:nvPicPr>
                <pic:blipFill>
                  <a:blip r:embed="rId1">
                    <a:extLst>
                      <a:ext uri="{28A0092B-C50C-407E-A947-70E740481C1C}">
                        <a14:useLocalDpi xmlns:a14="http://schemas.microsoft.com/office/drawing/2010/main" val="0"/>
                      </a:ext>
                    </a:extLst>
                  </a:blip>
                  <a:stretch>
                    <a:fillRect/>
                  </a:stretch>
                </pic:blipFill>
                <pic:spPr>
                  <a:xfrm>
                    <a:off x="0" y="0"/>
                    <a:ext cx="2361565" cy="1005840"/>
                  </a:xfrm>
                  <a:prstGeom prst="rect">
                    <a:avLst/>
                  </a:prstGeom>
                </pic:spPr>
              </pic:pic>
            </a:graphicData>
          </a:graphic>
          <wp14:sizeRelH relativeFrom="margin">
            <wp14:pctWidth>0</wp14:pctWidth>
          </wp14:sizeRelH>
          <wp14:sizeRelV relativeFrom="margin">
            <wp14:pctHeight>0</wp14:pctHeight>
          </wp14:sizeRelV>
        </wp:anchor>
      </w:drawing>
    </w:r>
    <w:r>
      <w:br/>
      <w:t xml:space="preserve"> </w:t>
    </w:r>
    <w:r>
      <w:rPr>
        <w:noProof/>
      </w:rPr>
      <w:drawing>
        <wp:inline distT="0" distB="0" distL="0" distR="0" wp14:anchorId="505D8F6A" wp14:editId="5D4DD404">
          <wp:extent cx="968681" cy="1004489"/>
          <wp:effectExtent l="0" t="0" r="0" b="1206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a-2c-V-jpeg.jpg"/>
                  <pic:cNvPicPr/>
                </pic:nvPicPr>
                <pic:blipFill>
                  <a:blip r:embed="rId2">
                    <a:extLst>
                      <a:ext uri="{28A0092B-C50C-407E-A947-70E740481C1C}">
                        <a14:useLocalDpi xmlns:a14="http://schemas.microsoft.com/office/drawing/2010/main" val="0"/>
                      </a:ext>
                    </a:extLst>
                  </a:blip>
                  <a:stretch>
                    <a:fillRect/>
                  </a:stretch>
                </pic:blipFill>
                <pic:spPr>
                  <a:xfrm>
                    <a:off x="0" y="0"/>
                    <a:ext cx="1006661" cy="1043873"/>
                  </a:xfrm>
                  <a:prstGeom prst="rect">
                    <a:avLst/>
                  </a:prstGeom>
                </pic:spPr>
              </pic:pic>
            </a:graphicData>
          </a:graphic>
        </wp:inline>
      </w:drawing>
    </w:r>
    <w:r>
      <w:br/>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394"/>
    <w:rsid w:val="00021229"/>
    <w:rsid w:val="00040BCA"/>
    <w:rsid w:val="0005764C"/>
    <w:rsid w:val="00074806"/>
    <w:rsid w:val="0012710A"/>
    <w:rsid w:val="001C36E7"/>
    <w:rsid w:val="001C437F"/>
    <w:rsid w:val="001C6891"/>
    <w:rsid w:val="001E26C9"/>
    <w:rsid w:val="00214B53"/>
    <w:rsid w:val="002970E5"/>
    <w:rsid w:val="002D19DF"/>
    <w:rsid w:val="0032346A"/>
    <w:rsid w:val="00323A42"/>
    <w:rsid w:val="003D2467"/>
    <w:rsid w:val="00450720"/>
    <w:rsid w:val="0048090A"/>
    <w:rsid w:val="004840DC"/>
    <w:rsid w:val="004A7B49"/>
    <w:rsid w:val="004B7E4F"/>
    <w:rsid w:val="004D5C54"/>
    <w:rsid w:val="0052419C"/>
    <w:rsid w:val="00536E0A"/>
    <w:rsid w:val="00583D57"/>
    <w:rsid w:val="005A15B4"/>
    <w:rsid w:val="005A5C84"/>
    <w:rsid w:val="005A7995"/>
    <w:rsid w:val="005B35C5"/>
    <w:rsid w:val="005B5A2B"/>
    <w:rsid w:val="005D2C1F"/>
    <w:rsid w:val="00600EB6"/>
    <w:rsid w:val="006529A6"/>
    <w:rsid w:val="00675C66"/>
    <w:rsid w:val="006B784B"/>
    <w:rsid w:val="00712562"/>
    <w:rsid w:val="00793BD5"/>
    <w:rsid w:val="007C659A"/>
    <w:rsid w:val="00814249"/>
    <w:rsid w:val="00815EF3"/>
    <w:rsid w:val="00867C0E"/>
    <w:rsid w:val="00880F90"/>
    <w:rsid w:val="00890404"/>
    <w:rsid w:val="008923EF"/>
    <w:rsid w:val="008A1B15"/>
    <w:rsid w:val="008B5B73"/>
    <w:rsid w:val="008C1946"/>
    <w:rsid w:val="008E5FF6"/>
    <w:rsid w:val="0090198C"/>
    <w:rsid w:val="0093773B"/>
    <w:rsid w:val="00966DA7"/>
    <w:rsid w:val="00973A97"/>
    <w:rsid w:val="009E30A4"/>
    <w:rsid w:val="00A06C6B"/>
    <w:rsid w:val="00AA3B2A"/>
    <w:rsid w:val="00AB6A26"/>
    <w:rsid w:val="00B3637A"/>
    <w:rsid w:val="00B4521D"/>
    <w:rsid w:val="00B80431"/>
    <w:rsid w:val="00BF16AA"/>
    <w:rsid w:val="00C11C10"/>
    <w:rsid w:val="00C173E7"/>
    <w:rsid w:val="00C71052"/>
    <w:rsid w:val="00C74B67"/>
    <w:rsid w:val="00CB58A5"/>
    <w:rsid w:val="00D24F04"/>
    <w:rsid w:val="00D9722F"/>
    <w:rsid w:val="00DC0CCB"/>
    <w:rsid w:val="00E02E21"/>
    <w:rsid w:val="00E563DC"/>
    <w:rsid w:val="00EA1429"/>
    <w:rsid w:val="00EC7FBA"/>
    <w:rsid w:val="00F028CC"/>
    <w:rsid w:val="00F03AC4"/>
    <w:rsid w:val="00F91BC2"/>
    <w:rsid w:val="00FC3394"/>
    <w:rsid w:val="00FD63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D246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4840DC"/>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7C659A"/>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3394"/>
    <w:pPr>
      <w:tabs>
        <w:tab w:val="center" w:pos="4680"/>
        <w:tab w:val="right" w:pos="9360"/>
      </w:tabs>
    </w:pPr>
  </w:style>
  <w:style w:type="character" w:customStyle="1" w:styleId="HeaderChar">
    <w:name w:val="Header Char"/>
    <w:basedOn w:val="DefaultParagraphFont"/>
    <w:link w:val="Header"/>
    <w:uiPriority w:val="99"/>
    <w:rsid w:val="00FC3394"/>
  </w:style>
  <w:style w:type="paragraph" w:styleId="Footer">
    <w:name w:val="footer"/>
    <w:basedOn w:val="Normal"/>
    <w:link w:val="FooterChar"/>
    <w:uiPriority w:val="99"/>
    <w:unhideWhenUsed/>
    <w:rsid w:val="00FC3394"/>
    <w:pPr>
      <w:tabs>
        <w:tab w:val="center" w:pos="4680"/>
        <w:tab w:val="right" w:pos="9360"/>
      </w:tabs>
    </w:pPr>
  </w:style>
  <w:style w:type="character" w:customStyle="1" w:styleId="FooterChar">
    <w:name w:val="Footer Char"/>
    <w:basedOn w:val="DefaultParagraphFont"/>
    <w:link w:val="Footer"/>
    <w:uiPriority w:val="99"/>
    <w:rsid w:val="00FC3394"/>
  </w:style>
  <w:style w:type="character" w:styleId="Hyperlink">
    <w:name w:val="Hyperlink"/>
    <w:basedOn w:val="DefaultParagraphFont"/>
    <w:uiPriority w:val="99"/>
    <w:unhideWhenUsed/>
    <w:rsid w:val="00973A97"/>
    <w:rPr>
      <w:color w:val="0000FF"/>
      <w:u w:val="single"/>
    </w:rPr>
  </w:style>
  <w:style w:type="paragraph" w:customStyle="1" w:styleId="Title1">
    <w:name w:val="Title1"/>
    <w:basedOn w:val="Normal"/>
    <w:rsid w:val="00973A97"/>
    <w:pPr>
      <w:spacing w:before="100" w:beforeAutospacing="1" w:after="100" w:afterAutospacing="1"/>
    </w:pPr>
    <w:rPr>
      <w:rFonts w:ascii="Times New Roman" w:eastAsia="Times New Roman" w:hAnsi="Times New Roman" w:cs="Times New Roman"/>
    </w:rPr>
  </w:style>
  <w:style w:type="character" w:customStyle="1" w:styleId="jrnl">
    <w:name w:val="jrnl"/>
    <w:basedOn w:val="DefaultParagraphFont"/>
    <w:rsid w:val="00973A97"/>
  </w:style>
  <w:style w:type="paragraph" w:styleId="FootnoteText">
    <w:name w:val="footnote text"/>
    <w:basedOn w:val="Normal"/>
    <w:link w:val="FootnoteTextChar"/>
    <w:uiPriority w:val="99"/>
    <w:semiHidden/>
    <w:unhideWhenUsed/>
    <w:rsid w:val="00973A97"/>
    <w:rPr>
      <w:sz w:val="20"/>
      <w:szCs w:val="20"/>
    </w:rPr>
  </w:style>
  <w:style w:type="character" w:customStyle="1" w:styleId="FootnoteTextChar">
    <w:name w:val="Footnote Text Char"/>
    <w:basedOn w:val="DefaultParagraphFont"/>
    <w:link w:val="FootnoteText"/>
    <w:uiPriority w:val="99"/>
    <w:semiHidden/>
    <w:rsid w:val="00973A97"/>
    <w:rPr>
      <w:sz w:val="20"/>
      <w:szCs w:val="20"/>
    </w:rPr>
  </w:style>
  <w:style w:type="character" w:styleId="FootnoteReference">
    <w:name w:val="footnote reference"/>
    <w:basedOn w:val="DefaultParagraphFont"/>
    <w:uiPriority w:val="99"/>
    <w:semiHidden/>
    <w:unhideWhenUsed/>
    <w:rsid w:val="00973A97"/>
    <w:rPr>
      <w:vertAlign w:val="superscript"/>
    </w:rPr>
  </w:style>
  <w:style w:type="character" w:styleId="FollowedHyperlink">
    <w:name w:val="FollowedHyperlink"/>
    <w:basedOn w:val="DefaultParagraphFont"/>
    <w:uiPriority w:val="99"/>
    <w:semiHidden/>
    <w:unhideWhenUsed/>
    <w:rsid w:val="00973A97"/>
    <w:rPr>
      <w:color w:val="954F72" w:themeColor="followedHyperlink"/>
      <w:u w:val="single"/>
    </w:rPr>
  </w:style>
  <w:style w:type="character" w:customStyle="1" w:styleId="Heading3Char">
    <w:name w:val="Heading 3 Char"/>
    <w:basedOn w:val="DefaultParagraphFont"/>
    <w:link w:val="Heading3"/>
    <w:uiPriority w:val="9"/>
    <w:rsid w:val="004840DC"/>
    <w:rPr>
      <w:rFonts w:ascii="Times New Roman" w:eastAsia="Times New Roman" w:hAnsi="Times New Roman" w:cs="Times New Roman"/>
      <w:b/>
      <w:bCs/>
      <w:sz w:val="27"/>
      <w:szCs w:val="27"/>
    </w:rPr>
  </w:style>
  <w:style w:type="character" w:styleId="UnresolvedMention">
    <w:name w:val="Unresolved Mention"/>
    <w:basedOn w:val="DefaultParagraphFont"/>
    <w:uiPriority w:val="99"/>
    <w:rsid w:val="008A1B15"/>
    <w:rPr>
      <w:color w:val="808080"/>
      <w:shd w:val="clear" w:color="auto" w:fill="E6E6E6"/>
    </w:rPr>
  </w:style>
  <w:style w:type="character" w:customStyle="1" w:styleId="Heading1Char">
    <w:name w:val="Heading 1 Char"/>
    <w:basedOn w:val="DefaultParagraphFont"/>
    <w:link w:val="Heading1"/>
    <w:uiPriority w:val="9"/>
    <w:rsid w:val="003D2467"/>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uiPriority w:val="9"/>
    <w:semiHidden/>
    <w:rsid w:val="007C659A"/>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611096">
      <w:bodyDiv w:val="1"/>
      <w:marLeft w:val="0"/>
      <w:marRight w:val="0"/>
      <w:marTop w:val="0"/>
      <w:marBottom w:val="0"/>
      <w:divBdr>
        <w:top w:val="none" w:sz="0" w:space="0" w:color="auto"/>
        <w:left w:val="none" w:sz="0" w:space="0" w:color="auto"/>
        <w:bottom w:val="none" w:sz="0" w:space="0" w:color="auto"/>
        <w:right w:val="none" w:sz="0" w:space="0" w:color="auto"/>
      </w:divBdr>
    </w:div>
    <w:div w:id="367605151">
      <w:bodyDiv w:val="1"/>
      <w:marLeft w:val="0"/>
      <w:marRight w:val="0"/>
      <w:marTop w:val="0"/>
      <w:marBottom w:val="0"/>
      <w:divBdr>
        <w:top w:val="none" w:sz="0" w:space="0" w:color="auto"/>
        <w:left w:val="none" w:sz="0" w:space="0" w:color="auto"/>
        <w:bottom w:val="none" w:sz="0" w:space="0" w:color="auto"/>
        <w:right w:val="none" w:sz="0" w:space="0" w:color="auto"/>
      </w:divBdr>
    </w:div>
    <w:div w:id="781608004">
      <w:bodyDiv w:val="1"/>
      <w:marLeft w:val="0"/>
      <w:marRight w:val="0"/>
      <w:marTop w:val="0"/>
      <w:marBottom w:val="0"/>
      <w:divBdr>
        <w:top w:val="none" w:sz="0" w:space="0" w:color="auto"/>
        <w:left w:val="none" w:sz="0" w:space="0" w:color="auto"/>
        <w:bottom w:val="none" w:sz="0" w:space="0" w:color="auto"/>
        <w:right w:val="none" w:sz="0" w:space="0" w:color="auto"/>
      </w:divBdr>
    </w:div>
    <w:div w:id="138197536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jmptonline.org/article/S0161-4754(16)00063-4/abstract" TargetMode="External"/><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jmptonline.org/article/S0161-4754(16)00007-5/pdf"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oi.org/10.1007/s00586-016-4467-7" TargetMode="External"/><Relationship Id="rId5" Type="http://schemas.openxmlformats.org/officeDocument/2006/relationships/styles" Target="styles.xml"/><Relationship Id="rId15" Type="http://schemas.openxmlformats.org/officeDocument/2006/relationships/hyperlink" Target="mailto:jfalardeau@acatoday.org" TargetMode="External"/><Relationship Id="rId10" Type="http://schemas.openxmlformats.org/officeDocument/2006/relationships/hyperlink" Target="http://www.ncbi.nlm.nih.gov/pubmed/26857706" TargetMode="Externa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s://www.ncbi.nlm.nih.gov/pubmed/26152439"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56CC6F0B41D5346A5E3499D3D78E0DA" ma:contentTypeVersion="6" ma:contentTypeDescription="Create a new document." ma:contentTypeScope="" ma:versionID="85f6cbdd35b1cfe338355528f8ecdfe0">
  <xsd:schema xmlns:xsd="http://www.w3.org/2001/XMLSchema" xmlns:xs="http://www.w3.org/2001/XMLSchema" xmlns:p="http://schemas.microsoft.com/office/2006/metadata/properties" xmlns:ns2="b1b0c601-030f-4631-8f7c-27dc017c159e" xmlns:ns3="c7b4d833-38df-490c-865a-d7df7afd27a4" targetNamespace="http://schemas.microsoft.com/office/2006/metadata/properties" ma:root="true" ma:fieldsID="3d0d8b344caeddf6840b3d318b337b40" ns2:_="" ns3:_="">
    <xsd:import namespace="b1b0c601-030f-4631-8f7c-27dc017c159e"/>
    <xsd:import namespace="c7b4d833-38df-490c-865a-d7df7afd27a4"/>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b0c601-030f-4631-8f7c-27dc017c159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b4d833-38df-490c-865a-d7df7afd27a4"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46155D8-FA28-4B64-A7EA-6B00E3A7F99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C452D08-61CE-4259-91C5-1B1B62AD305A}">
  <ds:schemaRefs>
    <ds:schemaRef ds:uri="http://schemas.microsoft.com/sharepoint/v3/contenttype/forms"/>
  </ds:schemaRefs>
</ds:datastoreItem>
</file>

<file path=customXml/itemProps3.xml><?xml version="1.0" encoding="utf-8"?>
<ds:datastoreItem xmlns:ds="http://schemas.openxmlformats.org/officeDocument/2006/customXml" ds:itemID="{EA8CAADC-8955-4021-8032-E4D7437D3C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b0c601-030f-4631-8f7c-27dc017c159e"/>
    <ds:schemaRef ds:uri="c7b4d833-38df-490c-865a-d7df7afd27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C48F3F7-2CBA-4642-B2D5-FDE7F8980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1033</Words>
  <Characters>5894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Dalboe</dc:creator>
  <cp:keywords/>
  <dc:description/>
  <cp:lastModifiedBy>Annette Bernat</cp:lastModifiedBy>
  <cp:revision>2</cp:revision>
  <dcterms:created xsi:type="dcterms:W3CDTF">2018-02-13T19:46:00Z</dcterms:created>
  <dcterms:modified xsi:type="dcterms:W3CDTF">2018-02-13T19:46:00Z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0x010100756CC6F0B41D5346A5E3499D3D78E0DA</vt:lpwstr>
  </property>
</Properties>
</file>